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FFF8" w14:textId="0678BB75" w:rsidR="00AE6C5A" w:rsidRPr="00B752C7" w:rsidRDefault="00D3064E" w:rsidP="005F1A0C">
      <w:pPr>
        <w:pBdr>
          <w:bottom w:val="single" w:sz="4" w:space="1" w:color="auto"/>
        </w:pBdr>
        <w:jc w:val="both"/>
        <w:rPr>
          <w:rFonts w:ascii="Museo Sans 300" w:hAnsi="Museo Sans 300"/>
          <w:sz w:val="20"/>
          <w:szCs w:val="20"/>
        </w:rPr>
      </w:pPr>
      <w:r w:rsidRPr="00B752C7">
        <w:rPr>
          <w:rFonts w:ascii="Museo Sans 300" w:hAnsi="Museo Sans 300"/>
          <w:sz w:val="48"/>
          <w:szCs w:val="48"/>
        </w:rPr>
        <w:t xml:space="preserve">Title: </w:t>
      </w:r>
      <w:r w:rsidR="005B76BB">
        <w:rPr>
          <w:rFonts w:ascii="Museo Sans 300" w:hAnsi="Museo Sans 300"/>
          <w:i/>
          <w:iCs/>
          <w:sz w:val="48"/>
          <w:szCs w:val="48"/>
        </w:rPr>
        <w:t>Tsunami Girl</w:t>
      </w:r>
      <w:r w:rsidRPr="005F1A0C">
        <w:rPr>
          <w:rFonts w:ascii="Museo Sans 300" w:hAnsi="Museo Sans 300"/>
          <w:i/>
          <w:iCs/>
          <w:sz w:val="48"/>
          <w:szCs w:val="48"/>
        </w:rPr>
        <w:tab/>
      </w:r>
      <w:r w:rsidRPr="00B752C7">
        <w:rPr>
          <w:rFonts w:ascii="Museo Sans 300" w:hAnsi="Museo Sans 300"/>
          <w:sz w:val="48"/>
          <w:szCs w:val="48"/>
        </w:rPr>
        <w:tab/>
      </w:r>
      <w:r w:rsidRPr="00B752C7">
        <w:rPr>
          <w:rFonts w:ascii="Museo Sans 300" w:hAnsi="Museo Sans 300"/>
          <w:sz w:val="48"/>
          <w:szCs w:val="48"/>
        </w:rPr>
        <w:tab/>
        <w:t>Author:</w:t>
      </w:r>
      <w:r w:rsidR="005F1A0C">
        <w:rPr>
          <w:rFonts w:ascii="Museo Sans 300" w:hAnsi="Museo Sans 300"/>
          <w:sz w:val="48"/>
          <w:szCs w:val="48"/>
        </w:rPr>
        <w:t xml:space="preserve"> </w:t>
      </w:r>
      <w:r w:rsidR="00023569">
        <w:rPr>
          <w:rFonts w:ascii="Museo Sans 300" w:hAnsi="Museo Sans 300"/>
          <w:sz w:val="48"/>
          <w:szCs w:val="48"/>
        </w:rPr>
        <w:t xml:space="preserve">Julian Sedgwick and Chie </w:t>
      </w:r>
      <w:proofErr w:type="spellStart"/>
      <w:r w:rsidR="00023569">
        <w:rPr>
          <w:rFonts w:ascii="Museo Sans 300" w:hAnsi="Museo Sans 300"/>
          <w:sz w:val="48"/>
          <w:szCs w:val="48"/>
        </w:rPr>
        <w:t>Kutsuwada</w:t>
      </w:r>
      <w:proofErr w:type="spellEnd"/>
    </w:p>
    <w:tbl>
      <w:tblPr>
        <w:tblStyle w:val="TableGrid"/>
        <w:tblW w:w="0" w:type="auto"/>
        <w:jc w:val="center"/>
        <w:tblLook w:val="04A0" w:firstRow="1" w:lastRow="0" w:firstColumn="1" w:lastColumn="0" w:noHBand="0" w:noVBand="1"/>
      </w:tblPr>
      <w:tblGrid>
        <w:gridCol w:w="13927"/>
      </w:tblGrid>
      <w:tr w:rsidR="00EA31E7" w14:paraId="3AD74C5A" w14:textId="77777777" w:rsidTr="00744C5C">
        <w:trPr>
          <w:trHeight w:val="574"/>
          <w:jc w:val="center"/>
        </w:trPr>
        <w:tc>
          <w:tcPr>
            <w:tcW w:w="13927" w:type="dxa"/>
            <w:shd w:val="clear" w:color="auto" w:fill="FFABD5"/>
            <w:vAlign w:val="center"/>
          </w:tcPr>
          <w:p w14:paraId="3C37918B" w14:textId="5C32763E" w:rsidR="00EA31E7" w:rsidRPr="00A1239D" w:rsidRDefault="00EB44E1" w:rsidP="2C11341A">
            <w:pPr>
              <w:rPr>
                <w:sz w:val="52"/>
                <w:szCs w:val="52"/>
              </w:rPr>
            </w:pPr>
            <w:r w:rsidRPr="00A1239D">
              <w:rPr>
                <w:b/>
                <w:bCs/>
                <w:sz w:val="24"/>
                <w:szCs w:val="24"/>
              </w:rPr>
              <w:t>LIKE</w:t>
            </w:r>
            <w:r w:rsidR="005F1A0C">
              <w:rPr>
                <w:b/>
                <w:bCs/>
                <w:sz w:val="24"/>
                <w:szCs w:val="24"/>
              </w:rPr>
              <w:t>S</w:t>
            </w:r>
          </w:p>
        </w:tc>
      </w:tr>
      <w:tr w:rsidR="00A1239D" w14:paraId="27A7D54F" w14:textId="77777777" w:rsidTr="2C11341A">
        <w:trPr>
          <w:trHeight w:val="7654"/>
          <w:jc w:val="center"/>
        </w:trPr>
        <w:tc>
          <w:tcPr>
            <w:tcW w:w="13927" w:type="dxa"/>
            <w:tcMar>
              <w:top w:w="170" w:type="dxa"/>
            </w:tcMar>
          </w:tcPr>
          <w:p w14:paraId="736BF68A" w14:textId="3664C225" w:rsidR="00A1239D" w:rsidRDefault="00831484" w:rsidP="00DC463B">
            <w:pPr>
              <w:pStyle w:val="ListParagraph"/>
              <w:numPr>
                <w:ilvl w:val="0"/>
                <w:numId w:val="11"/>
              </w:numPr>
            </w:pPr>
            <w:r>
              <w:lastRenderedPageBreak/>
              <w:t xml:space="preserve">Based on a real event – exploring the </w:t>
            </w:r>
            <w:proofErr w:type="gramStart"/>
            <w:r>
              <w:t>after effects</w:t>
            </w:r>
            <w:proofErr w:type="gramEnd"/>
            <w:r>
              <w:t>.</w:t>
            </w:r>
            <w:r w:rsidR="00603CCE">
              <w:t xml:space="preserve"> The depiction of the disaster felt very real and had a sense of the difficulty of finding a way to move on – made us think about what it would be like to be in that situation.</w:t>
            </w:r>
          </w:p>
          <w:p w14:paraId="139E2764" w14:textId="3B39B51A" w:rsidR="00831484" w:rsidRDefault="00831484" w:rsidP="00DC463B">
            <w:pPr>
              <w:pStyle w:val="ListParagraph"/>
              <w:numPr>
                <w:ilvl w:val="0"/>
                <w:numId w:val="11"/>
              </w:numPr>
            </w:pPr>
            <w:r>
              <w:t>The fox</w:t>
            </w:r>
            <w:r w:rsidR="00603CCE">
              <w:t>/dog and the way it appeared and disappeared and was both real and supernatural.</w:t>
            </w:r>
          </w:p>
          <w:p w14:paraId="6D2D1772" w14:textId="77777777" w:rsidR="00831484" w:rsidRDefault="00831484" w:rsidP="00DC463B">
            <w:pPr>
              <w:pStyle w:val="ListParagraph"/>
              <w:numPr>
                <w:ilvl w:val="0"/>
                <w:numId w:val="11"/>
              </w:numPr>
            </w:pPr>
            <w:r>
              <w:t>The way the theme of death was handled – spirituality, ghosts, the supernatural, the grandfather communicating with her.</w:t>
            </w:r>
          </w:p>
          <w:p w14:paraId="77C23B53" w14:textId="77777777" w:rsidR="00831484" w:rsidRDefault="00831484" w:rsidP="00DC463B">
            <w:pPr>
              <w:pStyle w:val="ListParagraph"/>
              <w:numPr>
                <w:ilvl w:val="0"/>
                <w:numId w:val="11"/>
              </w:numPr>
            </w:pPr>
            <w:r>
              <w:t xml:space="preserve">The family relationships: </w:t>
            </w:r>
          </w:p>
          <w:p w14:paraId="2AABA788" w14:textId="2213AEE9" w:rsidR="00831484" w:rsidRDefault="00831484" w:rsidP="00DC463B">
            <w:pPr>
              <w:pStyle w:val="ListParagraph"/>
              <w:numPr>
                <w:ilvl w:val="1"/>
                <w:numId w:val="11"/>
              </w:numPr>
            </w:pPr>
            <w:r>
              <w:t>nice to see representation of a grandfather/granddaughter for a change</w:t>
            </w:r>
            <w:r w:rsidR="00603CCE">
              <w:t>, the tonal shifts and deepening of their relationship</w:t>
            </w:r>
          </w:p>
          <w:p w14:paraId="709E8769" w14:textId="35417B7F" w:rsidR="00831484" w:rsidRDefault="00831484" w:rsidP="00DC463B">
            <w:pPr>
              <w:pStyle w:val="ListParagraph"/>
              <w:numPr>
                <w:ilvl w:val="1"/>
                <w:numId w:val="11"/>
              </w:numPr>
            </w:pPr>
            <w:r>
              <w:t>other family relationships a believable mix of complex emotions – often sweet, but also argumentative or scratchy sometimes</w:t>
            </w:r>
          </w:p>
          <w:p w14:paraId="2C2B83A4" w14:textId="00D140B7" w:rsidR="00831484" w:rsidRDefault="00831484" w:rsidP="00DC463B">
            <w:pPr>
              <w:pStyle w:val="ListParagraph"/>
              <w:numPr>
                <w:ilvl w:val="1"/>
                <w:numId w:val="11"/>
              </w:numPr>
            </w:pPr>
            <w:r>
              <w:t>the presence of the grandmother through various objects</w:t>
            </w:r>
          </w:p>
          <w:p w14:paraId="3FFD85A4" w14:textId="60BC25A8" w:rsidR="00831484" w:rsidRDefault="00831484" w:rsidP="00DC463B">
            <w:pPr>
              <w:pStyle w:val="ListParagraph"/>
              <w:numPr>
                <w:ilvl w:val="0"/>
                <w:numId w:val="11"/>
              </w:numPr>
            </w:pPr>
            <w:r>
              <w:t>Relatable protagonist – anxiety and EBSA a very current issue for many young people.</w:t>
            </w:r>
          </w:p>
          <w:p w14:paraId="4592814F" w14:textId="625D1510" w:rsidR="00831484" w:rsidRDefault="00831484" w:rsidP="00DC463B">
            <w:pPr>
              <w:pStyle w:val="ListParagraph"/>
              <w:numPr>
                <w:ilvl w:val="0"/>
                <w:numId w:val="11"/>
              </w:numPr>
            </w:pPr>
            <w:r>
              <w:t>A realistic ending – no magic wand, but there is hope for recovery and moving forward.</w:t>
            </w:r>
          </w:p>
          <w:p w14:paraId="6764DBC0" w14:textId="6829F191" w:rsidR="00831484" w:rsidRDefault="00831484" w:rsidP="00DC463B">
            <w:pPr>
              <w:pStyle w:val="ListParagraph"/>
              <w:numPr>
                <w:ilvl w:val="0"/>
                <w:numId w:val="11"/>
              </w:numPr>
            </w:pPr>
            <w:r>
              <w:t xml:space="preserve">Interesting to get to know more about Japanese language and culture including ideas about respect/formality, the supernatural, </w:t>
            </w:r>
            <w:proofErr w:type="gramStart"/>
            <w:r>
              <w:t>spiritual</w:t>
            </w:r>
            <w:proofErr w:type="gramEnd"/>
            <w:r>
              <w:t xml:space="preserve"> and religious elements. Enjoyed looking things up and finding out more. Liked the way folklore was woven through the story </w:t>
            </w:r>
            <w:proofErr w:type="gramStart"/>
            <w:r>
              <w:t>e.g.</w:t>
            </w:r>
            <w:proofErr w:type="gramEnd"/>
            <w:r>
              <w:t xml:space="preserve"> the catfish.</w:t>
            </w:r>
          </w:p>
          <w:p w14:paraId="4D730A54" w14:textId="77777777" w:rsidR="00603CCE" w:rsidRDefault="00603CCE" w:rsidP="00DC463B">
            <w:pPr>
              <w:pStyle w:val="ListParagraph"/>
              <w:numPr>
                <w:ilvl w:val="0"/>
                <w:numId w:val="11"/>
              </w:numPr>
            </w:pPr>
            <w:r>
              <w:t xml:space="preserve">The representation of what it’s like to have two cultures. Particularly interesting to see a character who is second generation and a quarter Japanese – she mentions that many people don’t realise she is part Japanese. Interesting to explore her sense of connection/disconnection. Don’t often see a character like this although it is the position of many in Britain today. Lots of teens will relate to that. </w:t>
            </w:r>
          </w:p>
          <w:p w14:paraId="2C25281C" w14:textId="2F9613D6" w:rsidR="00603CCE" w:rsidRDefault="00603CCE" w:rsidP="00DC463B">
            <w:pPr>
              <w:pStyle w:val="ListParagraph"/>
              <w:numPr>
                <w:ilvl w:val="0"/>
                <w:numId w:val="11"/>
              </w:numPr>
            </w:pPr>
            <w:r>
              <w:t>Japan a ‘home away from home’ which is then taken away from her. Questions about where feels like home, where do you fit, which are both specific to Yuki and universal</w:t>
            </w:r>
            <w:r w:rsidR="00023569">
              <w:t>,</w:t>
            </w:r>
            <w:r>
              <w:t xml:space="preserve"> esp</w:t>
            </w:r>
            <w:r w:rsidR="00023569">
              <w:t>ecially</w:t>
            </w:r>
            <w:r>
              <w:t xml:space="preserve"> for teens.</w:t>
            </w:r>
          </w:p>
          <w:p w14:paraId="7C596163" w14:textId="46A68723" w:rsidR="00603CCE" w:rsidRDefault="00603CCE" w:rsidP="00DC463B">
            <w:pPr>
              <w:pStyle w:val="ListParagraph"/>
              <w:numPr>
                <w:ilvl w:val="0"/>
                <w:numId w:val="11"/>
              </w:numPr>
            </w:pPr>
            <w:r>
              <w:t>The mix of forms. The manga allowed for layers of meaning and a blurring of the boundary between imagination and reality, the physical and spiritual worlds. Seemed very appropriate for the subject matter.</w:t>
            </w:r>
          </w:p>
          <w:p w14:paraId="4189F9B3" w14:textId="77777777" w:rsidR="00831484" w:rsidRDefault="00603CCE" w:rsidP="00DC463B">
            <w:pPr>
              <w:pStyle w:val="ListParagraph"/>
              <w:numPr>
                <w:ilvl w:val="0"/>
                <w:numId w:val="11"/>
              </w:numPr>
            </w:pPr>
            <w:r>
              <w:t>The romance was well-handled – gentle, mutually supportive.</w:t>
            </w:r>
          </w:p>
          <w:p w14:paraId="4999ADA8" w14:textId="4FDD2CB5" w:rsidR="00C42BDD" w:rsidRDefault="00C42BDD" w:rsidP="00DC463B">
            <w:pPr>
              <w:pStyle w:val="ListParagraph"/>
              <w:numPr>
                <w:ilvl w:val="0"/>
                <w:numId w:val="11"/>
              </w:numPr>
            </w:pPr>
            <w:r>
              <w:t>The fact that the village was fictional, although many other details were real. Enabled the authors to amalgamate people’s experiences to keep it realistic, but also respectful of privacy and grief.</w:t>
            </w:r>
          </w:p>
        </w:tc>
      </w:tr>
    </w:tbl>
    <w:p w14:paraId="1013870E" w14:textId="78B257B5" w:rsidR="00B75F5C" w:rsidRDefault="00B75F5C" w:rsidP="00A1239D"/>
    <w:p w14:paraId="6CDBB0B0" w14:textId="77777777" w:rsidR="005F1A0C" w:rsidRDefault="005F1A0C" w:rsidP="00A1239D"/>
    <w:tbl>
      <w:tblPr>
        <w:tblStyle w:val="TableGrid"/>
        <w:tblW w:w="0" w:type="auto"/>
        <w:jc w:val="center"/>
        <w:tblLook w:val="04A0" w:firstRow="1" w:lastRow="0" w:firstColumn="1" w:lastColumn="0" w:noHBand="0" w:noVBand="1"/>
      </w:tblPr>
      <w:tblGrid>
        <w:gridCol w:w="13927"/>
      </w:tblGrid>
      <w:tr w:rsidR="00A1239D" w14:paraId="1EC7DC16" w14:textId="77777777" w:rsidTr="00744C5C">
        <w:trPr>
          <w:trHeight w:val="574"/>
          <w:jc w:val="center"/>
        </w:trPr>
        <w:tc>
          <w:tcPr>
            <w:tcW w:w="13927" w:type="dxa"/>
            <w:shd w:val="clear" w:color="auto" w:fill="FFABD5"/>
            <w:vAlign w:val="center"/>
          </w:tcPr>
          <w:p w14:paraId="58A721C8" w14:textId="3F28AC42" w:rsidR="00A1239D" w:rsidRPr="00A1239D" w:rsidRDefault="00A1239D" w:rsidP="00035C36">
            <w:pPr>
              <w:rPr>
                <w:b/>
                <w:bCs/>
              </w:rPr>
            </w:pPr>
            <w:r>
              <w:rPr>
                <w:b/>
                <w:bCs/>
                <w:sz w:val="24"/>
                <w:szCs w:val="24"/>
              </w:rPr>
              <w:lastRenderedPageBreak/>
              <w:t>DIS</w:t>
            </w:r>
            <w:r w:rsidRPr="00A1239D">
              <w:rPr>
                <w:b/>
                <w:bCs/>
                <w:sz w:val="24"/>
                <w:szCs w:val="24"/>
              </w:rPr>
              <w:t>LIKES</w:t>
            </w:r>
          </w:p>
        </w:tc>
      </w:tr>
      <w:tr w:rsidR="00A1239D" w14:paraId="2DDDB839" w14:textId="77777777" w:rsidTr="00884CDD">
        <w:trPr>
          <w:trHeight w:val="8046"/>
          <w:jc w:val="center"/>
        </w:trPr>
        <w:tc>
          <w:tcPr>
            <w:tcW w:w="13927" w:type="dxa"/>
            <w:tcMar>
              <w:top w:w="170" w:type="dxa"/>
            </w:tcMar>
          </w:tcPr>
          <w:p w14:paraId="325C8BD3" w14:textId="77777777" w:rsidR="00A1239D" w:rsidRDefault="00DC463B" w:rsidP="00C42BDD">
            <w:pPr>
              <w:pStyle w:val="ListParagraph"/>
              <w:numPr>
                <w:ilvl w:val="0"/>
                <w:numId w:val="12"/>
              </w:numPr>
            </w:pPr>
            <w:r>
              <w:t>The dialogue was not so strong – too much of it and often rather inane/slowed the pace</w:t>
            </w:r>
          </w:p>
          <w:p w14:paraId="26D323B2" w14:textId="4CA01A7D" w:rsidR="00DC463B" w:rsidRDefault="00DC463B" w:rsidP="00C42BDD">
            <w:pPr>
              <w:pStyle w:val="ListParagraph"/>
              <w:numPr>
                <w:ilvl w:val="0"/>
                <w:numId w:val="12"/>
              </w:numPr>
            </w:pPr>
            <w:r>
              <w:t>A bit slow to get going (students who have read it or started it have said this too). Tried recommending it to kids who like manga – but the pace was too slow for them.</w:t>
            </w:r>
          </w:p>
          <w:p w14:paraId="2C5B1AC0" w14:textId="2CFF620B" w:rsidR="00DC463B" w:rsidRDefault="00DC463B" w:rsidP="00C42BDD">
            <w:pPr>
              <w:pStyle w:val="ListParagraph"/>
              <w:numPr>
                <w:ilvl w:val="0"/>
                <w:numId w:val="12"/>
              </w:numPr>
            </w:pPr>
            <w:r>
              <w:t>The sojourn back in the UK – understood why this was important, but it both took too long and covered too much time. Couldn’t wait to get back to Japan!</w:t>
            </w:r>
            <w:r w:rsidR="00C42BDD">
              <w:t xml:space="preserve"> The therapy sessions seemed a bit clunky – ‘just put your feelings into your drawings’. This was clear in other ways, didn’t need spelling out/not convinced this would work in the way it works for Yuki.</w:t>
            </w:r>
          </w:p>
          <w:p w14:paraId="0C05689E" w14:textId="0FC412CA" w:rsidR="00DC463B" w:rsidRDefault="00DC463B" w:rsidP="00C42BDD">
            <w:pPr>
              <w:pStyle w:val="ListParagraph"/>
              <w:numPr>
                <w:ilvl w:val="0"/>
                <w:numId w:val="12"/>
              </w:numPr>
            </w:pPr>
            <w:r>
              <w:t xml:space="preserve">There were things that were clearly important that we didn’t </w:t>
            </w:r>
            <w:proofErr w:type="gramStart"/>
            <w:r>
              <w:t>understand</w:t>
            </w:r>
            <w:proofErr w:type="gramEnd"/>
            <w:r>
              <w:t xml:space="preserve"> and this made some people impatient/feel they were missing something. </w:t>
            </w:r>
            <w:proofErr w:type="gramStart"/>
            <w:r w:rsidR="00C42BDD">
              <w:t>E.g.</w:t>
            </w:r>
            <w:proofErr w:type="gramEnd"/>
            <w:r w:rsidR="00C42BDD">
              <w:t xml:space="preserve"> Half Wave – could he have been better used in the story?</w:t>
            </w:r>
          </w:p>
          <w:p w14:paraId="7ED75D4C" w14:textId="701189F9" w:rsidR="00DC463B" w:rsidRDefault="00DC463B" w:rsidP="00C42BDD">
            <w:pPr>
              <w:pStyle w:val="ListParagraph"/>
              <w:numPr>
                <w:ilvl w:val="0"/>
                <w:numId w:val="12"/>
              </w:numPr>
            </w:pPr>
            <w:r>
              <w:t xml:space="preserve">The romance didn’t seem necessary – Yuki had enough </w:t>
            </w:r>
            <w:proofErr w:type="gramStart"/>
            <w:r>
              <w:t>going</w:t>
            </w:r>
            <w:proofErr w:type="gramEnd"/>
            <w:r>
              <w:t xml:space="preserve"> on! And a bit of a cliché to fall for the misunderstood bad boy.</w:t>
            </w:r>
          </w:p>
          <w:p w14:paraId="6BE7174E" w14:textId="2C53428B" w:rsidR="00C42BDD" w:rsidRDefault="00C42BDD" w:rsidP="00C42BDD">
            <w:pPr>
              <w:pStyle w:val="ListParagraph"/>
              <w:numPr>
                <w:ilvl w:val="0"/>
                <w:numId w:val="12"/>
              </w:numPr>
            </w:pPr>
            <w:r>
              <w:t>Hard as a reader to spend so much time in the post-disaster world, with all the death and grief and other difficult emotions.</w:t>
            </w:r>
          </w:p>
          <w:p w14:paraId="7452F714" w14:textId="4711542F" w:rsidR="00DC463B" w:rsidRDefault="00DC463B" w:rsidP="00DC463B">
            <w:pPr>
              <w:pStyle w:val="ListParagraph"/>
              <w:ind w:left="360"/>
            </w:pPr>
          </w:p>
        </w:tc>
      </w:tr>
    </w:tbl>
    <w:p w14:paraId="0EF4993B" w14:textId="27318080" w:rsidR="00A1239D" w:rsidRDefault="00A1239D" w:rsidP="00A1239D"/>
    <w:p w14:paraId="311B85CB" w14:textId="07E887AE" w:rsidR="00A1239D" w:rsidRDefault="00A1239D" w:rsidP="00A1239D"/>
    <w:tbl>
      <w:tblPr>
        <w:tblStyle w:val="TableGrid"/>
        <w:tblW w:w="0" w:type="auto"/>
        <w:jc w:val="center"/>
        <w:tblLook w:val="04A0" w:firstRow="1" w:lastRow="0" w:firstColumn="1" w:lastColumn="0" w:noHBand="0" w:noVBand="1"/>
      </w:tblPr>
      <w:tblGrid>
        <w:gridCol w:w="13927"/>
      </w:tblGrid>
      <w:tr w:rsidR="00A1239D" w14:paraId="748BF76A" w14:textId="77777777" w:rsidTr="00744C5C">
        <w:trPr>
          <w:trHeight w:val="574"/>
          <w:jc w:val="center"/>
        </w:trPr>
        <w:tc>
          <w:tcPr>
            <w:tcW w:w="13927" w:type="dxa"/>
            <w:shd w:val="clear" w:color="auto" w:fill="FFABD5"/>
            <w:vAlign w:val="center"/>
          </w:tcPr>
          <w:p w14:paraId="7ECF5F67" w14:textId="246BD15A" w:rsidR="00A1239D" w:rsidRPr="00A1239D" w:rsidRDefault="00A1239D" w:rsidP="00035C36">
            <w:pPr>
              <w:rPr>
                <w:b/>
                <w:bCs/>
              </w:rPr>
            </w:pPr>
            <w:r>
              <w:rPr>
                <w:b/>
                <w:bCs/>
                <w:sz w:val="24"/>
                <w:szCs w:val="24"/>
              </w:rPr>
              <w:t>PUZZLES</w:t>
            </w:r>
          </w:p>
        </w:tc>
      </w:tr>
      <w:tr w:rsidR="00A1239D" w14:paraId="5B13C7A9" w14:textId="77777777" w:rsidTr="00F13BDD">
        <w:trPr>
          <w:trHeight w:val="5394"/>
          <w:jc w:val="center"/>
        </w:trPr>
        <w:tc>
          <w:tcPr>
            <w:tcW w:w="13927" w:type="dxa"/>
            <w:tcMar>
              <w:top w:w="170" w:type="dxa"/>
            </w:tcMar>
          </w:tcPr>
          <w:p w14:paraId="71BF48E5" w14:textId="6FC897E6" w:rsidR="00A1239D" w:rsidRDefault="00C42BDD" w:rsidP="00035C36">
            <w:pPr>
              <w:pStyle w:val="ListParagraph"/>
              <w:numPr>
                <w:ilvl w:val="0"/>
                <w:numId w:val="2"/>
              </w:numPr>
            </w:pPr>
            <w:r>
              <w:t xml:space="preserve">What was the purpose of Joel? A rather </w:t>
            </w:r>
            <w:proofErr w:type="gramStart"/>
            <w:r>
              <w:t>two dimensional</w:t>
            </w:r>
            <w:proofErr w:type="gramEnd"/>
            <w:r>
              <w:t xml:space="preserve"> character who just seems like a rehearsal for the relationship with </w:t>
            </w:r>
            <w:r w:rsidR="0004046B">
              <w:t>Taka</w:t>
            </w:r>
            <w:r>
              <w:t xml:space="preserve">. Some thought </w:t>
            </w:r>
            <w:r w:rsidR="00023569">
              <w:t xml:space="preserve">there was an important reason for Joel – it showed that although </w:t>
            </w:r>
            <w:r>
              <w:t>she went back to her friend and to school</w:t>
            </w:r>
            <w:r w:rsidR="00023569">
              <w:t xml:space="preserve">, </w:t>
            </w:r>
            <w:r>
              <w:t>it wasn’t enough. She had to return to Japan.</w:t>
            </w:r>
          </w:p>
          <w:p w14:paraId="3BC242DF" w14:textId="020B4F68" w:rsidR="00C42BDD" w:rsidRDefault="00264B58" w:rsidP="00035C36">
            <w:pPr>
              <w:pStyle w:val="ListParagraph"/>
              <w:numPr>
                <w:ilvl w:val="0"/>
                <w:numId w:val="2"/>
              </w:numPr>
            </w:pPr>
            <w:r>
              <w:t>The map – c</w:t>
            </w:r>
            <w:r w:rsidR="00C42BDD">
              <w:t>ouldn’t quite picture how different bits of the disaster zone fit together.</w:t>
            </w:r>
          </w:p>
          <w:p w14:paraId="0F3B9861" w14:textId="3C0C198D" w:rsidR="00C42BDD" w:rsidRDefault="00C42BDD" w:rsidP="00035C36">
            <w:pPr>
              <w:pStyle w:val="ListParagraph"/>
              <w:numPr>
                <w:ilvl w:val="0"/>
                <w:numId w:val="2"/>
              </w:numPr>
            </w:pPr>
            <w:r>
              <w:t xml:space="preserve">What </w:t>
            </w:r>
            <w:r w:rsidR="00023569">
              <w:t>was the purpose of the recurring song</w:t>
            </w:r>
            <w:r>
              <w:t xml:space="preserve">? Seemed significant but couldn’t quite work out </w:t>
            </w:r>
            <w:r w:rsidR="00023569">
              <w:t>why it cropped up when it did or what it meant.</w:t>
            </w:r>
          </w:p>
          <w:p w14:paraId="02CE4330" w14:textId="77777777" w:rsidR="00C42BDD" w:rsidRDefault="00C42BDD" w:rsidP="00035C36">
            <w:pPr>
              <w:pStyle w:val="ListParagraph"/>
              <w:numPr>
                <w:ilvl w:val="0"/>
                <w:numId w:val="2"/>
              </w:numPr>
            </w:pPr>
            <w:r>
              <w:t xml:space="preserve">Were there manga tropes we </w:t>
            </w:r>
            <w:proofErr w:type="gramStart"/>
            <w:r>
              <w:t>missed, because</w:t>
            </w:r>
            <w:proofErr w:type="gramEnd"/>
            <w:r>
              <w:t xml:space="preserve"> this isn’t a genre we </w:t>
            </w:r>
            <w:r w:rsidR="00264B58">
              <w:t>read?</w:t>
            </w:r>
          </w:p>
          <w:p w14:paraId="607807E8" w14:textId="241F4171" w:rsidR="00264B58" w:rsidRDefault="00023569" w:rsidP="00035C36">
            <w:pPr>
              <w:pStyle w:val="ListParagraph"/>
              <w:numPr>
                <w:ilvl w:val="0"/>
                <w:numId w:val="2"/>
              </w:numPr>
            </w:pPr>
            <w:r>
              <w:t>We’d</w:t>
            </w:r>
            <w:r w:rsidR="00264B58">
              <w:t xml:space="preserve"> love to ask </w:t>
            </w:r>
            <w:r>
              <w:t>Sedgwick</w:t>
            </w:r>
            <w:r w:rsidR="00264B58">
              <w:t xml:space="preserve"> and </w:t>
            </w:r>
            <w:proofErr w:type="spellStart"/>
            <w:r w:rsidR="00264B58">
              <w:t>Katsuwada</w:t>
            </w:r>
            <w:proofErr w:type="spellEnd"/>
            <w:r w:rsidR="00264B58">
              <w:t xml:space="preserve"> how they decided when and how to move between the prose and manga sections.</w:t>
            </w:r>
          </w:p>
          <w:p w14:paraId="750332E0" w14:textId="12635CAC" w:rsidR="00264B58" w:rsidRDefault="00264B58" w:rsidP="00035C36">
            <w:pPr>
              <w:pStyle w:val="ListParagraph"/>
              <w:numPr>
                <w:ilvl w:val="0"/>
                <w:numId w:val="2"/>
              </w:numPr>
            </w:pPr>
            <w:r>
              <w:t xml:space="preserve">The </w:t>
            </w:r>
            <w:proofErr w:type="spellStart"/>
            <w:r w:rsidR="00023569">
              <w:t>kokeshi</w:t>
            </w:r>
            <w:proofErr w:type="spellEnd"/>
            <w:r w:rsidR="00023569">
              <w:t xml:space="preserve"> </w:t>
            </w:r>
            <w:r>
              <w:t>doll</w:t>
            </w:r>
            <w:r w:rsidR="00023569">
              <w:t xml:space="preserve"> and</w:t>
            </w:r>
            <w:r>
              <w:t xml:space="preserve"> the grandmother’s objects. </w:t>
            </w:r>
            <w:r w:rsidR="00023569">
              <w:t>These were i</w:t>
            </w:r>
            <w:r>
              <w:t>ntriguing and would like to have worked out more about the significance of these.</w:t>
            </w:r>
          </w:p>
          <w:p w14:paraId="389F873B" w14:textId="2024D36B" w:rsidR="00264B58" w:rsidRDefault="00264B58" w:rsidP="00035C36">
            <w:pPr>
              <w:pStyle w:val="ListParagraph"/>
              <w:numPr>
                <w:ilvl w:val="0"/>
                <w:numId w:val="2"/>
              </w:numPr>
            </w:pPr>
            <w:r>
              <w:t xml:space="preserve">Had lots of questions </w:t>
            </w:r>
            <w:proofErr w:type="gramStart"/>
            <w:r>
              <w:t>e.g.</w:t>
            </w:r>
            <w:proofErr w:type="gramEnd"/>
            <w:r>
              <w:t xml:space="preserve"> which bits were real, the </w:t>
            </w:r>
            <w:r w:rsidR="00023569">
              <w:t>meaning</w:t>
            </w:r>
            <w:r>
              <w:t xml:space="preserve"> of some things such as the fox</w:t>
            </w:r>
            <w:r w:rsidR="00023569">
              <w:t>,</w:t>
            </w:r>
            <w:r>
              <w:t xml:space="preserve"> or the song – but was able to let these go</w:t>
            </w:r>
            <w:r w:rsidR="00023569">
              <w:t>. These unanswered questions</w:t>
            </w:r>
            <w:r>
              <w:t xml:space="preserve"> seemed to fit with all the questions about identity, being different in different situations etc.</w:t>
            </w:r>
          </w:p>
        </w:tc>
      </w:tr>
    </w:tbl>
    <w:p w14:paraId="7EA9C3E5" w14:textId="20DF8772" w:rsidR="00A1239D" w:rsidRDefault="00A1239D" w:rsidP="00A1239D"/>
    <w:p w14:paraId="3A5BED37" w14:textId="4DDAC4D6" w:rsidR="00A1239D" w:rsidRDefault="00A1239D" w:rsidP="00A1239D"/>
    <w:p w14:paraId="5CBE11F1" w14:textId="02C34058" w:rsidR="00F13BDD" w:rsidRDefault="00F13BDD" w:rsidP="00A1239D"/>
    <w:p w14:paraId="178811C4" w14:textId="5A1E3C9C" w:rsidR="00F13BDD" w:rsidRDefault="00F13BDD" w:rsidP="00A1239D"/>
    <w:p w14:paraId="55080430" w14:textId="77777777" w:rsidR="00F13BDD" w:rsidRDefault="00F13BDD" w:rsidP="00A1239D"/>
    <w:tbl>
      <w:tblPr>
        <w:tblStyle w:val="TableGrid"/>
        <w:tblW w:w="0" w:type="auto"/>
        <w:jc w:val="center"/>
        <w:tblLook w:val="04A0" w:firstRow="1" w:lastRow="0" w:firstColumn="1" w:lastColumn="0" w:noHBand="0" w:noVBand="1"/>
      </w:tblPr>
      <w:tblGrid>
        <w:gridCol w:w="13927"/>
      </w:tblGrid>
      <w:tr w:rsidR="00A1239D" w14:paraId="466C426E" w14:textId="77777777" w:rsidTr="00744C5C">
        <w:trPr>
          <w:trHeight w:val="574"/>
          <w:jc w:val="center"/>
        </w:trPr>
        <w:tc>
          <w:tcPr>
            <w:tcW w:w="13927" w:type="dxa"/>
            <w:shd w:val="clear" w:color="auto" w:fill="FFABD5"/>
            <w:vAlign w:val="center"/>
          </w:tcPr>
          <w:p w14:paraId="673063A9" w14:textId="431919B1" w:rsidR="00A1239D" w:rsidRPr="00A1239D" w:rsidRDefault="00A1239D" w:rsidP="00035C36">
            <w:pPr>
              <w:rPr>
                <w:b/>
                <w:bCs/>
              </w:rPr>
            </w:pPr>
            <w:r>
              <w:rPr>
                <w:b/>
                <w:bCs/>
              </w:rPr>
              <w:lastRenderedPageBreak/>
              <w:t>PATTERNS (Within this book and links to other books and real-life experiences)</w:t>
            </w:r>
          </w:p>
        </w:tc>
      </w:tr>
      <w:tr w:rsidR="00A1239D" w14:paraId="4519FDEC" w14:textId="77777777" w:rsidTr="00884CDD">
        <w:trPr>
          <w:trHeight w:val="8046"/>
          <w:jc w:val="center"/>
        </w:trPr>
        <w:tc>
          <w:tcPr>
            <w:tcW w:w="13927" w:type="dxa"/>
            <w:tcMar>
              <w:top w:w="170" w:type="dxa"/>
            </w:tcMar>
          </w:tcPr>
          <w:p w14:paraId="04A66491" w14:textId="77777777" w:rsidR="00724677" w:rsidRPr="00DC7AF2" w:rsidRDefault="00724677" w:rsidP="00724677">
            <w:pPr>
              <w:spacing w:line="276" w:lineRule="auto"/>
              <w:rPr>
                <w:rFonts w:cstheme="minorHAnsi"/>
                <w:b/>
                <w:bCs/>
                <w:i/>
                <w:iCs/>
                <w:u w:val="single"/>
              </w:rPr>
            </w:pPr>
            <w:r w:rsidRPr="00DC7AF2">
              <w:rPr>
                <w:rFonts w:cstheme="minorHAnsi"/>
                <w:b/>
                <w:bCs/>
                <w:i/>
                <w:iCs/>
                <w:u w:val="single"/>
              </w:rPr>
              <w:t>Within the novel</w:t>
            </w:r>
          </w:p>
          <w:p w14:paraId="64E13EEE" w14:textId="182BD11B" w:rsidR="00744C5C" w:rsidRPr="00264B58" w:rsidRDefault="00264B58" w:rsidP="00952AA2">
            <w:pPr>
              <w:spacing w:line="276" w:lineRule="auto"/>
              <w:rPr>
                <w:rFonts w:cstheme="minorHAnsi"/>
              </w:rPr>
            </w:pPr>
            <w:r w:rsidRPr="00264B58">
              <w:rPr>
                <w:rFonts w:cstheme="minorHAnsi"/>
              </w:rPr>
              <w:t xml:space="preserve">Animals </w:t>
            </w:r>
            <w:proofErr w:type="spellStart"/>
            <w:r w:rsidRPr="00264B58">
              <w:rPr>
                <w:rFonts w:cstheme="minorHAnsi"/>
              </w:rPr>
              <w:t>esp</w:t>
            </w:r>
            <w:proofErr w:type="spellEnd"/>
            <w:r w:rsidRPr="00264B58">
              <w:rPr>
                <w:rFonts w:cstheme="minorHAnsi"/>
              </w:rPr>
              <w:t xml:space="preserve"> fox/dog</w:t>
            </w:r>
          </w:p>
          <w:p w14:paraId="6401B965" w14:textId="1B38D311" w:rsidR="00264B58" w:rsidRDefault="00264B58" w:rsidP="00952AA2">
            <w:pPr>
              <w:spacing w:line="276" w:lineRule="auto"/>
              <w:rPr>
                <w:rFonts w:cstheme="minorHAnsi"/>
              </w:rPr>
            </w:pPr>
            <w:r w:rsidRPr="00264B58">
              <w:rPr>
                <w:rFonts w:cstheme="minorHAnsi"/>
              </w:rPr>
              <w:t>Being on a path</w:t>
            </w:r>
            <w:r>
              <w:rPr>
                <w:rFonts w:cstheme="minorHAnsi"/>
              </w:rPr>
              <w:t>/ walking away or towards – literal and metaphorical.</w:t>
            </w:r>
          </w:p>
          <w:p w14:paraId="6E05FC87" w14:textId="7A394EA1" w:rsidR="00264B58" w:rsidRDefault="00264B58" w:rsidP="00952AA2">
            <w:pPr>
              <w:spacing w:line="276" w:lineRule="auto"/>
              <w:rPr>
                <w:rFonts w:cstheme="minorHAnsi"/>
              </w:rPr>
            </w:pPr>
            <w:r>
              <w:rPr>
                <w:rFonts w:cstheme="minorHAnsi"/>
              </w:rPr>
              <w:t>Action and inactions.</w:t>
            </w:r>
          </w:p>
          <w:p w14:paraId="038A7B91" w14:textId="5252FDB7" w:rsidR="00264B58" w:rsidRDefault="00264B58" w:rsidP="00952AA2">
            <w:pPr>
              <w:spacing w:line="276" w:lineRule="auto"/>
              <w:rPr>
                <w:rFonts w:cstheme="minorHAnsi"/>
              </w:rPr>
            </w:pPr>
            <w:r>
              <w:rPr>
                <w:rFonts w:cstheme="minorHAnsi"/>
              </w:rPr>
              <w:t>Identity, shifting ideas about yourself</w:t>
            </w:r>
          </w:p>
          <w:p w14:paraId="54DC487F" w14:textId="083D2239" w:rsidR="00264B58" w:rsidRDefault="00264B58" w:rsidP="00952AA2">
            <w:pPr>
              <w:spacing w:line="276" w:lineRule="auto"/>
              <w:rPr>
                <w:rFonts w:cstheme="minorHAnsi"/>
              </w:rPr>
            </w:pPr>
            <w:r>
              <w:rPr>
                <w:rFonts w:cstheme="minorHAnsi"/>
              </w:rPr>
              <w:t xml:space="preserve">Language – communication and being misunderstood. </w:t>
            </w:r>
          </w:p>
          <w:p w14:paraId="15903CD6" w14:textId="51410A5B" w:rsidR="00264B58" w:rsidRDefault="00264B58" w:rsidP="00952AA2">
            <w:pPr>
              <w:spacing w:line="276" w:lineRule="auto"/>
              <w:rPr>
                <w:rFonts w:cstheme="minorHAnsi"/>
              </w:rPr>
            </w:pPr>
            <w:r>
              <w:rPr>
                <w:rFonts w:cstheme="minorHAnsi"/>
              </w:rPr>
              <w:t>The unknown – that it can be positive.</w:t>
            </w:r>
          </w:p>
          <w:p w14:paraId="6A7651D8" w14:textId="327C5BB2" w:rsidR="00264B58" w:rsidRPr="00264B58" w:rsidRDefault="00264B58" w:rsidP="00952AA2">
            <w:pPr>
              <w:spacing w:line="276" w:lineRule="auto"/>
              <w:rPr>
                <w:rFonts w:cstheme="minorHAnsi"/>
              </w:rPr>
            </w:pPr>
            <w:r>
              <w:rPr>
                <w:rFonts w:cstheme="minorHAnsi"/>
              </w:rPr>
              <w:t>There can be hope even when no resolution is possible.</w:t>
            </w:r>
          </w:p>
          <w:p w14:paraId="721AF031" w14:textId="77777777" w:rsidR="00744C5C" w:rsidRDefault="00744C5C" w:rsidP="00952AA2">
            <w:pPr>
              <w:spacing w:line="276" w:lineRule="auto"/>
              <w:rPr>
                <w:rFonts w:cstheme="minorHAnsi"/>
                <w:b/>
                <w:bCs/>
                <w:i/>
                <w:iCs/>
                <w:u w:val="single"/>
              </w:rPr>
            </w:pPr>
          </w:p>
          <w:p w14:paraId="416DE88B" w14:textId="30381218" w:rsidR="00952AA2" w:rsidRDefault="00952AA2" w:rsidP="00952AA2">
            <w:pPr>
              <w:spacing w:line="276" w:lineRule="auto"/>
              <w:rPr>
                <w:rFonts w:cstheme="minorHAnsi"/>
                <w:b/>
                <w:bCs/>
                <w:i/>
                <w:iCs/>
                <w:u w:val="single"/>
              </w:rPr>
            </w:pPr>
            <w:r w:rsidRPr="00DC7AF2">
              <w:rPr>
                <w:rFonts w:cstheme="minorHAnsi"/>
                <w:b/>
                <w:bCs/>
                <w:i/>
                <w:iCs/>
                <w:u w:val="single"/>
              </w:rPr>
              <w:t>Real life links</w:t>
            </w:r>
          </w:p>
          <w:p w14:paraId="77D59421" w14:textId="1EB20826" w:rsidR="00744C5C" w:rsidRDefault="00264B58" w:rsidP="00CD0CDE">
            <w:pPr>
              <w:spacing w:line="276" w:lineRule="auto"/>
              <w:rPr>
                <w:rFonts w:cstheme="minorHAnsi"/>
              </w:rPr>
            </w:pPr>
            <w:r>
              <w:rPr>
                <w:rFonts w:cstheme="minorHAnsi"/>
              </w:rPr>
              <w:t>The experience of learning a language and working out notions of formality/how culture is intrinsic to language.</w:t>
            </w:r>
          </w:p>
          <w:p w14:paraId="2EEF6B67" w14:textId="5358A289" w:rsidR="00264B58" w:rsidRDefault="00264B58" w:rsidP="00CD0CDE">
            <w:pPr>
              <w:spacing w:line="276" w:lineRule="auto"/>
              <w:rPr>
                <w:rFonts w:cstheme="minorHAnsi"/>
              </w:rPr>
            </w:pPr>
            <w:r>
              <w:rPr>
                <w:rFonts w:cstheme="minorHAnsi"/>
              </w:rPr>
              <w:t>Moving home and being teased at school for my accent/dialect.</w:t>
            </w:r>
          </w:p>
          <w:p w14:paraId="0A603279" w14:textId="2B1D6E49" w:rsidR="00264B58" w:rsidRDefault="00264B58" w:rsidP="00CD0CDE">
            <w:pPr>
              <w:spacing w:line="276" w:lineRule="auto"/>
              <w:rPr>
                <w:rFonts w:cstheme="minorHAnsi"/>
              </w:rPr>
            </w:pPr>
            <w:r>
              <w:rPr>
                <w:rFonts w:cstheme="minorHAnsi"/>
              </w:rPr>
              <w:t>When you have more than one language (or dialect) – which do you use and when? Links to your identity.</w:t>
            </w:r>
          </w:p>
          <w:p w14:paraId="231C9DD2" w14:textId="3FCF6273" w:rsidR="00E9448A" w:rsidRPr="00264B58" w:rsidRDefault="00023569" w:rsidP="00CD0CDE">
            <w:pPr>
              <w:spacing w:line="276" w:lineRule="auto"/>
              <w:rPr>
                <w:rFonts w:cstheme="minorHAnsi"/>
              </w:rPr>
            </w:pPr>
            <w:r>
              <w:rPr>
                <w:rFonts w:cstheme="minorHAnsi"/>
              </w:rPr>
              <w:t>Sedgwick</w:t>
            </w:r>
            <w:r w:rsidR="00E9448A">
              <w:rPr>
                <w:rFonts w:cstheme="minorHAnsi"/>
              </w:rPr>
              <w:t xml:space="preserve">’s inspirations </w:t>
            </w:r>
            <w:proofErr w:type="gramStart"/>
            <w:r w:rsidR="00E9448A">
              <w:rPr>
                <w:rFonts w:cstheme="minorHAnsi"/>
              </w:rPr>
              <w:t>e.g.</w:t>
            </w:r>
            <w:proofErr w:type="gramEnd"/>
            <w:r w:rsidR="00E9448A">
              <w:rPr>
                <w:rFonts w:cstheme="minorHAnsi"/>
              </w:rPr>
              <w:t xml:space="preserve"> the community centre which is determin</w:t>
            </w:r>
            <w:r>
              <w:rPr>
                <w:rFonts w:cstheme="minorHAnsi"/>
              </w:rPr>
              <w:t>e</w:t>
            </w:r>
            <w:r w:rsidR="00E9448A">
              <w:rPr>
                <w:rFonts w:cstheme="minorHAnsi"/>
              </w:rPr>
              <w:t>d to build the future rather than simply commemorate the past.</w:t>
            </w:r>
          </w:p>
          <w:p w14:paraId="47EDF06A" w14:textId="77777777" w:rsidR="00744C5C" w:rsidRDefault="00744C5C" w:rsidP="00CD0CDE">
            <w:pPr>
              <w:spacing w:line="276" w:lineRule="auto"/>
              <w:rPr>
                <w:rFonts w:cstheme="minorHAnsi"/>
                <w:b/>
                <w:bCs/>
                <w:i/>
                <w:iCs/>
                <w:u w:val="single"/>
              </w:rPr>
            </w:pPr>
          </w:p>
          <w:p w14:paraId="710ECDFA" w14:textId="6990DDE1" w:rsidR="00CD0CDE" w:rsidRDefault="00CD0CDE" w:rsidP="00CD0CDE">
            <w:pPr>
              <w:spacing w:line="276" w:lineRule="auto"/>
              <w:rPr>
                <w:rFonts w:cstheme="minorHAnsi"/>
                <w:b/>
                <w:bCs/>
                <w:i/>
                <w:iCs/>
                <w:u w:val="single"/>
              </w:rPr>
            </w:pPr>
            <w:r w:rsidRPr="00DC7AF2">
              <w:rPr>
                <w:rFonts w:cstheme="minorHAnsi"/>
                <w:b/>
                <w:bCs/>
                <w:i/>
                <w:iCs/>
                <w:u w:val="single"/>
              </w:rPr>
              <w:t>Links to other books / film</w:t>
            </w:r>
          </w:p>
          <w:p w14:paraId="35F13850" w14:textId="00177BFF" w:rsidR="00A1239D" w:rsidRDefault="00E9448A" w:rsidP="005F1A0C">
            <w:pPr>
              <w:pStyle w:val="ListParagraph"/>
              <w:numPr>
                <w:ilvl w:val="0"/>
                <w:numId w:val="8"/>
              </w:numPr>
            </w:pPr>
            <w:r>
              <w:t xml:space="preserve">Coming of age stories – </w:t>
            </w:r>
            <w:r w:rsidR="00023569">
              <w:t xml:space="preserve">it’s </w:t>
            </w:r>
            <w:r>
              <w:t xml:space="preserve">an unusual thing she </w:t>
            </w:r>
            <w:proofErr w:type="gramStart"/>
            <w:r>
              <w:t>has to</w:t>
            </w:r>
            <w:proofErr w:type="gramEnd"/>
            <w:r>
              <w:t xml:space="preserve"> overcome, but these stories are so common.</w:t>
            </w:r>
          </w:p>
          <w:p w14:paraId="3ED5937E" w14:textId="77777777" w:rsidR="00E9448A" w:rsidRDefault="00E9448A" w:rsidP="005F1A0C">
            <w:pPr>
              <w:pStyle w:val="ListParagraph"/>
              <w:numPr>
                <w:ilvl w:val="0"/>
                <w:numId w:val="8"/>
              </w:numPr>
            </w:pPr>
            <w:r w:rsidRPr="00023569">
              <w:rPr>
                <w:i/>
                <w:iCs/>
              </w:rPr>
              <w:t>Sunset Song</w:t>
            </w:r>
            <w:r>
              <w:t xml:space="preserve"> by Lewis Grassic Gibbon. Written in Scots dialect. An experience of having to let go of the things you don’t understand to immerse yourself in a book.</w:t>
            </w:r>
          </w:p>
          <w:p w14:paraId="139F5C60" w14:textId="77777777" w:rsidR="00E9448A" w:rsidRDefault="00E9448A" w:rsidP="005F1A0C">
            <w:pPr>
              <w:pStyle w:val="ListParagraph"/>
              <w:numPr>
                <w:ilvl w:val="0"/>
                <w:numId w:val="8"/>
              </w:numPr>
            </w:pPr>
            <w:r w:rsidRPr="00023569">
              <w:rPr>
                <w:i/>
                <w:iCs/>
              </w:rPr>
              <w:t>To Kill a Mockingbird</w:t>
            </w:r>
            <w:r>
              <w:t xml:space="preserve"> – Boo Radley’s youth – misunderstood – people overacted to a justifiable action. Like Taka.</w:t>
            </w:r>
          </w:p>
          <w:p w14:paraId="503AFAC6" w14:textId="77777777" w:rsidR="00E9448A" w:rsidRDefault="00E9448A" w:rsidP="005F1A0C">
            <w:pPr>
              <w:pStyle w:val="ListParagraph"/>
              <w:numPr>
                <w:ilvl w:val="0"/>
                <w:numId w:val="8"/>
              </w:numPr>
            </w:pPr>
            <w:r>
              <w:t xml:space="preserve">Studio Ghibli films – </w:t>
            </w:r>
            <w:proofErr w:type="spellStart"/>
            <w:r>
              <w:t>esp</w:t>
            </w:r>
            <w:proofErr w:type="spellEnd"/>
            <w:r>
              <w:t xml:space="preserve"> Spirited Away for the use of the supernatural</w:t>
            </w:r>
          </w:p>
          <w:p w14:paraId="062F73FF" w14:textId="77777777" w:rsidR="00E9448A" w:rsidRDefault="00E9448A" w:rsidP="005F1A0C">
            <w:pPr>
              <w:pStyle w:val="ListParagraph"/>
              <w:numPr>
                <w:ilvl w:val="0"/>
                <w:numId w:val="8"/>
              </w:numPr>
            </w:pPr>
            <w:r w:rsidRPr="00023569">
              <w:rPr>
                <w:i/>
                <w:iCs/>
              </w:rPr>
              <w:t>Punching the Air</w:t>
            </w:r>
            <w:r>
              <w:t xml:space="preserve"> – art </w:t>
            </w:r>
            <w:proofErr w:type="gramStart"/>
            <w:r>
              <w:t>as a way to</w:t>
            </w:r>
            <w:proofErr w:type="gramEnd"/>
            <w:r>
              <w:t xml:space="preserve"> </w:t>
            </w:r>
            <w:r w:rsidR="008329DE">
              <w:t>deal with difficult emotions and situations</w:t>
            </w:r>
          </w:p>
          <w:p w14:paraId="50112CEA" w14:textId="77777777" w:rsidR="008329DE" w:rsidRDefault="008329DE" w:rsidP="005F1A0C">
            <w:pPr>
              <w:pStyle w:val="ListParagraph"/>
              <w:numPr>
                <w:ilvl w:val="0"/>
                <w:numId w:val="8"/>
              </w:numPr>
            </w:pPr>
            <w:r w:rsidRPr="00023569">
              <w:rPr>
                <w:i/>
                <w:iCs/>
              </w:rPr>
              <w:t>The Last Paper Crane</w:t>
            </w:r>
            <w:r>
              <w:t xml:space="preserve"> by Kerry </w:t>
            </w:r>
            <w:proofErr w:type="spellStart"/>
            <w:r>
              <w:t>Drewery</w:t>
            </w:r>
            <w:proofErr w:type="spellEnd"/>
            <w:r>
              <w:t>. Set in 1945, the day the bomb dropped on Hiroshima. Also explores a grandfather/granddaughter relationship. Written in poetry, but the illustrations are very important to the story.</w:t>
            </w:r>
          </w:p>
          <w:p w14:paraId="423D4F5A" w14:textId="50DC78E9" w:rsidR="008329DE" w:rsidRDefault="008329DE" w:rsidP="008329DE">
            <w:pPr>
              <w:pStyle w:val="ListParagraph"/>
              <w:ind w:left="360"/>
            </w:pPr>
          </w:p>
        </w:tc>
      </w:tr>
    </w:tbl>
    <w:p w14:paraId="17710DF0" w14:textId="69557A11" w:rsidR="00A1239D" w:rsidRDefault="00A1239D" w:rsidP="00A1239D"/>
    <w:p w14:paraId="0F38C0A3" w14:textId="1A1CA43C" w:rsidR="00A1239D" w:rsidRDefault="00A1239D" w:rsidP="00A1239D"/>
    <w:tbl>
      <w:tblPr>
        <w:tblStyle w:val="TableGrid"/>
        <w:tblW w:w="0" w:type="auto"/>
        <w:jc w:val="center"/>
        <w:tblLook w:val="04A0" w:firstRow="1" w:lastRow="0" w:firstColumn="1" w:lastColumn="0" w:noHBand="0" w:noVBand="1"/>
      </w:tblPr>
      <w:tblGrid>
        <w:gridCol w:w="13927"/>
      </w:tblGrid>
      <w:tr w:rsidR="00884CDD" w14:paraId="02D3612B" w14:textId="77777777" w:rsidTr="00744C5C">
        <w:trPr>
          <w:trHeight w:val="574"/>
          <w:jc w:val="center"/>
        </w:trPr>
        <w:tc>
          <w:tcPr>
            <w:tcW w:w="13927" w:type="dxa"/>
            <w:shd w:val="clear" w:color="auto" w:fill="FFABD5"/>
            <w:vAlign w:val="center"/>
          </w:tcPr>
          <w:p w14:paraId="2BC6C07E" w14:textId="6125C068" w:rsidR="00884CDD" w:rsidRPr="00A1239D" w:rsidRDefault="00884CDD" w:rsidP="00035C36">
            <w:pPr>
              <w:rPr>
                <w:b/>
                <w:bCs/>
              </w:rPr>
            </w:pPr>
            <w:r>
              <w:rPr>
                <w:b/>
                <w:bCs/>
              </w:rPr>
              <w:t>HOOKS</w:t>
            </w:r>
          </w:p>
        </w:tc>
      </w:tr>
      <w:tr w:rsidR="00884CDD" w14:paraId="6C2E80BD" w14:textId="77777777" w:rsidTr="00884CDD">
        <w:trPr>
          <w:trHeight w:val="3402"/>
          <w:jc w:val="center"/>
        </w:trPr>
        <w:tc>
          <w:tcPr>
            <w:tcW w:w="13927" w:type="dxa"/>
            <w:tcMar>
              <w:top w:w="170" w:type="dxa"/>
            </w:tcMar>
          </w:tcPr>
          <w:p w14:paraId="415C75CB" w14:textId="6104614F" w:rsidR="00884CDD" w:rsidRDefault="008329DE" w:rsidP="005B76BB">
            <w:pPr>
              <w:pStyle w:val="ListParagraph"/>
              <w:numPr>
                <w:ilvl w:val="0"/>
                <w:numId w:val="9"/>
              </w:numPr>
            </w:pPr>
            <w:r>
              <w:t>Students interested in East Asian culture through K-Pop/J-Pop might enjoy it</w:t>
            </w:r>
          </w:p>
          <w:p w14:paraId="1B1C973E" w14:textId="5091F0E9" w:rsidR="008329DE" w:rsidRDefault="008329DE" w:rsidP="005B76BB">
            <w:pPr>
              <w:pStyle w:val="ListParagraph"/>
              <w:numPr>
                <w:ilvl w:val="0"/>
                <w:numId w:val="9"/>
              </w:numPr>
            </w:pPr>
            <w:r>
              <w:t xml:space="preserve">Students who really enjoy art might be interested </w:t>
            </w:r>
            <w:r w:rsidR="00023569">
              <w:t xml:space="preserve">in the novel through the importance of </w:t>
            </w:r>
            <w:proofErr w:type="spellStart"/>
            <w:r w:rsidR="00023569">
              <w:t>Yukki’s</w:t>
            </w:r>
            <w:proofErr w:type="spellEnd"/>
            <w:r w:rsidR="00023569">
              <w:t xml:space="preserve"> art to her/the story. </w:t>
            </w:r>
            <w:r>
              <w:t xml:space="preserve"> </w:t>
            </w:r>
          </w:p>
          <w:p w14:paraId="268E6F0B" w14:textId="7EF7448F" w:rsidR="008329DE" w:rsidRDefault="008329DE" w:rsidP="005B76BB">
            <w:pPr>
              <w:pStyle w:val="ListParagraph"/>
              <w:numPr>
                <w:ilvl w:val="0"/>
                <w:numId w:val="9"/>
              </w:numPr>
            </w:pPr>
            <w:r>
              <w:t>M</w:t>
            </w:r>
            <w:r w:rsidR="00023569">
              <w:t>ight appeal to students struggling with m</w:t>
            </w:r>
            <w:r>
              <w:t>ental health/wellbeing esp</w:t>
            </w:r>
            <w:r w:rsidR="00023569">
              <w:t>ecially</w:t>
            </w:r>
            <w:r>
              <w:t xml:space="preserve"> anxiety and school avoidance</w:t>
            </w:r>
          </w:p>
          <w:p w14:paraId="450CA90D" w14:textId="76E5AC4C" w:rsidR="008329DE" w:rsidRDefault="008329DE" w:rsidP="005B76BB">
            <w:pPr>
              <w:pStyle w:val="ListParagraph"/>
              <w:numPr>
                <w:ilvl w:val="0"/>
                <w:numId w:val="9"/>
              </w:numPr>
            </w:pPr>
            <w:r>
              <w:t>The ghost story aspect</w:t>
            </w:r>
            <w:r w:rsidR="00023569">
              <w:t xml:space="preserve"> would hook some</w:t>
            </w:r>
          </w:p>
          <w:p w14:paraId="7430C975" w14:textId="77777777" w:rsidR="008329DE" w:rsidRDefault="008329DE" w:rsidP="005B76BB">
            <w:pPr>
              <w:pStyle w:val="ListParagraph"/>
              <w:numPr>
                <w:ilvl w:val="0"/>
                <w:numId w:val="9"/>
              </w:numPr>
            </w:pPr>
            <w:r>
              <w:t>Might tempt a student who is a competent reader but a bit stuck in the romance genre</w:t>
            </w:r>
          </w:p>
          <w:p w14:paraId="0243555D" w14:textId="3AC7F17C" w:rsidR="008329DE" w:rsidRDefault="008329DE" w:rsidP="005B76BB">
            <w:pPr>
              <w:pStyle w:val="ListParagraph"/>
              <w:numPr>
                <w:ilvl w:val="0"/>
                <w:numId w:val="9"/>
              </w:numPr>
            </w:pPr>
            <w:r>
              <w:t>Studio Ghibli films as a way in (an alternative to Disney)</w:t>
            </w:r>
          </w:p>
        </w:tc>
      </w:tr>
    </w:tbl>
    <w:p w14:paraId="57D5450C" w14:textId="77777777" w:rsidR="00884CDD" w:rsidRDefault="00884CDD" w:rsidP="00A1239D"/>
    <w:tbl>
      <w:tblPr>
        <w:tblStyle w:val="TableGrid"/>
        <w:tblW w:w="0" w:type="auto"/>
        <w:jc w:val="center"/>
        <w:tblLook w:val="04A0" w:firstRow="1" w:lastRow="0" w:firstColumn="1" w:lastColumn="0" w:noHBand="0" w:noVBand="1"/>
      </w:tblPr>
      <w:tblGrid>
        <w:gridCol w:w="13927"/>
      </w:tblGrid>
      <w:tr w:rsidR="00A1239D" w14:paraId="3C6CE566" w14:textId="77777777" w:rsidTr="00744C5C">
        <w:trPr>
          <w:trHeight w:val="574"/>
          <w:jc w:val="center"/>
        </w:trPr>
        <w:tc>
          <w:tcPr>
            <w:tcW w:w="13927" w:type="dxa"/>
            <w:shd w:val="clear" w:color="auto" w:fill="FFABD5"/>
            <w:vAlign w:val="center"/>
          </w:tcPr>
          <w:p w14:paraId="489FFAFF" w14:textId="3D9A0130" w:rsidR="00A1239D" w:rsidRPr="00A1239D" w:rsidRDefault="00A1239D" w:rsidP="00035C36">
            <w:pPr>
              <w:rPr>
                <w:b/>
                <w:bCs/>
              </w:rPr>
            </w:pPr>
            <w:r>
              <w:rPr>
                <w:b/>
                <w:bCs/>
              </w:rPr>
              <w:t>READING ALOUD, HAVING IGNITED THEIR CURIOSITY</w:t>
            </w:r>
          </w:p>
        </w:tc>
      </w:tr>
      <w:tr w:rsidR="00A1239D" w14:paraId="52469266" w14:textId="77777777" w:rsidTr="00F13BDD">
        <w:trPr>
          <w:trHeight w:val="2596"/>
          <w:jc w:val="center"/>
        </w:trPr>
        <w:tc>
          <w:tcPr>
            <w:tcW w:w="13927" w:type="dxa"/>
            <w:tcMar>
              <w:top w:w="170" w:type="dxa"/>
            </w:tcMar>
          </w:tcPr>
          <w:p w14:paraId="38A94EF3" w14:textId="77777777" w:rsidR="00A1239D" w:rsidRDefault="00A1239D" w:rsidP="008329DE"/>
        </w:tc>
      </w:tr>
    </w:tbl>
    <w:p w14:paraId="11D58D72" w14:textId="6D714811" w:rsidR="00A1239D" w:rsidRDefault="00A1239D" w:rsidP="00A1239D"/>
    <w:p w14:paraId="2DE6B6B4" w14:textId="63344F3E" w:rsidR="00A1239D" w:rsidRDefault="00A1239D" w:rsidP="00A1239D"/>
    <w:tbl>
      <w:tblPr>
        <w:tblStyle w:val="TableGrid"/>
        <w:tblW w:w="0" w:type="auto"/>
        <w:jc w:val="center"/>
        <w:tblLook w:val="04A0" w:firstRow="1" w:lastRow="0" w:firstColumn="1" w:lastColumn="0" w:noHBand="0" w:noVBand="1"/>
      </w:tblPr>
      <w:tblGrid>
        <w:gridCol w:w="13927"/>
      </w:tblGrid>
      <w:tr w:rsidR="00884CDD" w14:paraId="3BA5AA6F" w14:textId="77777777" w:rsidTr="00744C5C">
        <w:trPr>
          <w:trHeight w:val="574"/>
          <w:jc w:val="center"/>
        </w:trPr>
        <w:tc>
          <w:tcPr>
            <w:tcW w:w="13927" w:type="dxa"/>
            <w:shd w:val="clear" w:color="auto" w:fill="FFABD5"/>
            <w:vAlign w:val="center"/>
          </w:tcPr>
          <w:p w14:paraId="4CA39C08" w14:textId="585C21A1" w:rsidR="00884CDD" w:rsidRPr="00A1239D" w:rsidRDefault="00884CDD" w:rsidP="00035C36">
            <w:pPr>
              <w:rPr>
                <w:b/>
                <w:bCs/>
              </w:rPr>
            </w:pPr>
            <w:r>
              <w:rPr>
                <w:b/>
                <w:bCs/>
              </w:rPr>
              <w:lastRenderedPageBreak/>
              <w:t>OUTPUTS FOLLOWING READING (ORAL AND WRITTEN)</w:t>
            </w:r>
          </w:p>
        </w:tc>
      </w:tr>
      <w:tr w:rsidR="00884CDD" w14:paraId="4F4F9CB9" w14:textId="77777777" w:rsidTr="00884CDD">
        <w:trPr>
          <w:trHeight w:val="8046"/>
          <w:jc w:val="center"/>
        </w:trPr>
        <w:tc>
          <w:tcPr>
            <w:tcW w:w="13927" w:type="dxa"/>
            <w:tcMar>
              <w:top w:w="170" w:type="dxa"/>
            </w:tcMar>
          </w:tcPr>
          <w:p w14:paraId="1D76592B" w14:textId="1307FC7A" w:rsidR="00884CDD" w:rsidRDefault="008329DE" w:rsidP="005B76BB">
            <w:pPr>
              <w:pStyle w:val="ListParagraph"/>
              <w:numPr>
                <w:ilvl w:val="0"/>
                <w:numId w:val="10"/>
              </w:numPr>
            </w:pPr>
            <w:r>
              <w:t xml:space="preserve">‘Climbing my </w:t>
            </w:r>
            <w:proofErr w:type="spellStart"/>
            <w:r>
              <w:t>Grandfather’</w:t>
            </w:r>
            <w:r w:rsidR="00023569">
              <w:t>in</w:t>
            </w:r>
            <w:proofErr w:type="spellEnd"/>
            <w:r w:rsidR="00023569">
              <w:t xml:space="preserve"> the AQA Anthology</w:t>
            </w:r>
            <w:r>
              <w:t xml:space="preserve"> – could use an extract from </w:t>
            </w:r>
            <w:r w:rsidRPr="00023569">
              <w:rPr>
                <w:i/>
                <w:iCs/>
              </w:rPr>
              <w:t>Tsunami Girl</w:t>
            </w:r>
            <w:r>
              <w:t xml:space="preserve"> when studying this poem</w:t>
            </w:r>
          </w:p>
          <w:p w14:paraId="5D8841C2" w14:textId="24AE2B4A" w:rsidR="008329DE" w:rsidRDefault="008329DE" w:rsidP="005B76BB">
            <w:pPr>
              <w:pStyle w:val="ListParagraph"/>
              <w:numPr>
                <w:ilvl w:val="0"/>
                <w:numId w:val="10"/>
              </w:numPr>
            </w:pPr>
            <w:r>
              <w:t xml:space="preserve">Link to </w:t>
            </w:r>
            <w:r w:rsidRPr="008329DE">
              <w:rPr>
                <w:i/>
                <w:iCs/>
              </w:rPr>
              <w:t>The Woman in Black</w:t>
            </w:r>
            <w:r>
              <w:t xml:space="preserve"> at GCSE. Create a manga insert for part of the novel using </w:t>
            </w:r>
            <w:r w:rsidRPr="00023569">
              <w:rPr>
                <w:i/>
                <w:iCs/>
              </w:rPr>
              <w:t>Tsunami Girl</w:t>
            </w:r>
            <w:r>
              <w:t xml:space="preserve"> as a model</w:t>
            </w:r>
          </w:p>
        </w:tc>
      </w:tr>
    </w:tbl>
    <w:p w14:paraId="015BEC68" w14:textId="3E890BC7" w:rsidR="00884CDD" w:rsidRDefault="00884CDD" w:rsidP="00A1239D"/>
    <w:p w14:paraId="678DF958" w14:textId="77777777" w:rsidR="00884CDD" w:rsidRDefault="00884CDD" w:rsidP="00A1239D"/>
    <w:tbl>
      <w:tblPr>
        <w:tblStyle w:val="TableGrid"/>
        <w:tblW w:w="0" w:type="auto"/>
        <w:jc w:val="center"/>
        <w:tblLook w:val="04A0" w:firstRow="1" w:lastRow="0" w:firstColumn="1" w:lastColumn="0" w:noHBand="0" w:noVBand="1"/>
      </w:tblPr>
      <w:tblGrid>
        <w:gridCol w:w="13927"/>
      </w:tblGrid>
      <w:tr w:rsidR="00884CDD" w14:paraId="7CCEAE5B" w14:textId="77777777" w:rsidTr="00DF54D0">
        <w:trPr>
          <w:trHeight w:val="574"/>
          <w:jc w:val="center"/>
        </w:trPr>
        <w:tc>
          <w:tcPr>
            <w:tcW w:w="13927" w:type="dxa"/>
            <w:shd w:val="clear" w:color="auto" w:fill="FFABD5"/>
            <w:vAlign w:val="center"/>
          </w:tcPr>
          <w:p w14:paraId="69C6704A" w14:textId="0B3B0601" w:rsidR="00884CDD" w:rsidRPr="00A1239D" w:rsidRDefault="00981959" w:rsidP="00035C36">
            <w:pPr>
              <w:rPr>
                <w:b/>
                <w:bCs/>
              </w:rPr>
            </w:pPr>
            <w:r>
              <w:rPr>
                <w:b/>
                <w:bCs/>
              </w:rPr>
              <w:t>RESOURCES</w:t>
            </w:r>
          </w:p>
        </w:tc>
      </w:tr>
      <w:tr w:rsidR="00884CDD" w14:paraId="4DCF9B3A" w14:textId="77777777" w:rsidTr="00884CDD">
        <w:trPr>
          <w:trHeight w:val="3402"/>
          <w:jc w:val="center"/>
        </w:trPr>
        <w:tc>
          <w:tcPr>
            <w:tcW w:w="13927" w:type="dxa"/>
            <w:tcMar>
              <w:top w:w="170" w:type="dxa"/>
            </w:tcMar>
          </w:tcPr>
          <w:p w14:paraId="65250E2A" w14:textId="51C8F69B" w:rsidR="005F1A0C" w:rsidRDefault="008329DE" w:rsidP="008329DE">
            <w:pPr>
              <w:pStyle w:val="ListParagraph"/>
              <w:numPr>
                <w:ilvl w:val="0"/>
                <w:numId w:val="13"/>
              </w:numPr>
              <w:jc w:val="both"/>
            </w:pPr>
            <w:r>
              <w:t xml:space="preserve">The English and Media Centre’s free Carnegie resource includes work on </w:t>
            </w:r>
            <w:r w:rsidRPr="008329DE">
              <w:rPr>
                <w:i/>
                <w:iCs/>
              </w:rPr>
              <w:t>Ts</w:t>
            </w:r>
            <w:r w:rsidR="00023569">
              <w:rPr>
                <w:i/>
                <w:iCs/>
              </w:rPr>
              <w:t>u</w:t>
            </w:r>
            <w:r w:rsidRPr="008329DE">
              <w:rPr>
                <w:i/>
                <w:iCs/>
              </w:rPr>
              <w:t>n</w:t>
            </w:r>
            <w:r w:rsidR="00023569">
              <w:rPr>
                <w:i/>
                <w:iCs/>
              </w:rPr>
              <w:t>a</w:t>
            </w:r>
            <w:r w:rsidRPr="008329DE">
              <w:rPr>
                <w:i/>
                <w:iCs/>
              </w:rPr>
              <w:t>mi Girl</w:t>
            </w:r>
            <w:r>
              <w:t xml:space="preserve">: </w:t>
            </w:r>
            <w:hyperlink r:id="rId10" w:history="1">
              <w:r w:rsidRPr="00987415">
                <w:rPr>
                  <w:rStyle w:val="Hyperlink"/>
                </w:rPr>
                <w:t>https://www.englishandmedia.co.uk/publications/the-carnegie-medal-award-shortlist-2022-resources-download-emc-free</w:t>
              </w:r>
            </w:hyperlink>
          </w:p>
          <w:p w14:paraId="4919AC9F" w14:textId="63E7EC00" w:rsidR="008329DE" w:rsidRDefault="008329DE" w:rsidP="008329DE">
            <w:pPr>
              <w:pStyle w:val="ListParagraph"/>
              <w:numPr>
                <w:ilvl w:val="0"/>
                <w:numId w:val="13"/>
              </w:numPr>
            </w:pPr>
            <w:r>
              <w:t>Lots o</w:t>
            </w:r>
            <w:r w:rsidR="00023569">
              <w:t xml:space="preserve">f short films with Sedgewick on </w:t>
            </w:r>
            <w:r>
              <w:t xml:space="preserve">YouTube </w:t>
            </w:r>
            <w:proofErr w:type="gramStart"/>
            <w:r>
              <w:t>–  e.g.</w:t>
            </w:r>
            <w:proofErr w:type="gramEnd"/>
            <w:r>
              <w:t xml:space="preserve"> </w:t>
            </w:r>
            <w:r w:rsidR="00023569">
              <w:t xml:space="preserve">talking </w:t>
            </w:r>
            <w:r>
              <w:t>about the mythology</w:t>
            </w:r>
            <w:r w:rsidR="00023569">
              <w:t xml:space="preserve"> or</w:t>
            </w:r>
            <w:r>
              <w:t xml:space="preserve"> why he decided to include manga. There is also a short trailer for the book. All </w:t>
            </w:r>
            <w:proofErr w:type="gramStart"/>
            <w:r>
              <w:t>really useful</w:t>
            </w:r>
            <w:proofErr w:type="gramEnd"/>
            <w:r>
              <w:t xml:space="preserve"> for book groups.</w:t>
            </w:r>
          </w:p>
          <w:p w14:paraId="6E01646A" w14:textId="77777777" w:rsidR="008329DE" w:rsidRDefault="008329DE" w:rsidP="005F1A0C">
            <w:pPr>
              <w:jc w:val="both"/>
            </w:pPr>
          </w:p>
          <w:p w14:paraId="2003D358" w14:textId="3785A140" w:rsidR="00884CDD" w:rsidRDefault="00884CDD" w:rsidP="005F1A0C">
            <w:pPr>
              <w:pStyle w:val="ListParagraph"/>
            </w:pPr>
          </w:p>
        </w:tc>
      </w:tr>
    </w:tbl>
    <w:p w14:paraId="0B3E22B7" w14:textId="108BD60A" w:rsidR="00884CDD" w:rsidRDefault="00884CDD" w:rsidP="00A1239D"/>
    <w:tbl>
      <w:tblPr>
        <w:tblStyle w:val="TableGrid"/>
        <w:tblW w:w="0" w:type="auto"/>
        <w:jc w:val="center"/>
        <w:tblLook w:val="04A0" w:firstRow="1" w:lastRow="0" w:firstColumn="1" w:lastColumn="0" w:noHBand="0" w:noVBand="1"/>
      </w:tblPr>
      <w:tblGrid>
        <w:gridCol w:w="13927"/>
      </w:tblGrid>
      <w:tr w:rsidR="00884CDD" w14:paraId="4681E6D2" w14:textId="77777777" w:rsidTr="00744C5C">
        <w:trPr>
          <w:trHeight w:val="574"/>
          <w:jc w:val="center"/>
        </w:trPr>
        <w:tc>
          <w:tcPr>
            <w:tcW w:w="13927" w:type="dxa"/>
            <w:shd w:val="clear" w:color="auto" w:fill="FFABD5"/>
            <w:vAlign w:val="center"/>
          </w:tcPr>
          <w:p w14:paraId="7229BE99" w14:textId="6D07DC56" w:rsidR="00884CDD" w:rsidRPr="00A1239D" w:rsidRDefault="00981959" w:rsidP="00035C36">
            <w:pPr>
              <w:rPr>
                <w:b/>
                <w:bCs/>
              </w:rPr>
            </w:pPr>
            <w:r>
              <w:rPr>
                <w:b/>
                <w:bCs/>
              </w:rPr>
              <w:t>OTHER</w:t>
            </w:r>
          </w:p>
        </w:tc>
      </w:tr>
      <w:tr w:rsidR="00884CDD" w14:paraId="6D3F8B58" w14:textId="77777777" w:rsidTr="00F13BDD">
        <w:trPr>
          <w:trHeight w:val="2738"/>
          <w:jc w:val="center"/>
        </w:trPr>
        <w:tc>
          <w:tcPr>
            <w:tcW w:w="13927" w:type="dxa"/>
            <w:tcMar>
              <w:top w:w="170" w:type="dxa"/>
            </w:tcMar>
          </w:tcPr>
          <w:p w14:paraId="0080EE38" w14:textId="77777777" w:rsidR="00884CDD" w:rsidRDefault="00884CDD" w:rsidP="00035C36">
            <w:pPr>
              <w:pStyle w:val="ListParagraph"/>
              <w:numPr>
                <w:ilvl w:val="0"/>
                <w:numId w:val="2"/>
              </w:numPr>
            </w:pPr>
          </w:p>
        </w:tc>
      </w:tr>
    </w:tbl>
    <w:p w14:paraId="5F9F0257" w14:textId="77777777" w:rsidR="00884CDD" w:rsidRDefault="00884CDD" w:rsidP="00A1239D"/>
    <w:sectPr w:rsidR="00884CDD" w:rsidSect="00B75F5C">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0901" w14:textId="77777777" w:rsidR="00547C19" w:rsidRDefault="00547C19" w:rsidP="00B75F5C">
      <w:pPr>
        <w:spacing w:after="0" w:line="240" w:lineRule="auto"/>
      </w:pPr>
      <w:r>
        <w:separator/>
      </w:r>
    </w:p>
  </w:endnote>
  <w:endnote w:type="continuationSeparator" w:id="0">
    <w:p w14:paraId="1875A683" w14:textId="77777777" w:rsidR="00547C19" w:rsidRDefault="00547C19" w:rsidP="00B75F5C">
      <w:pPr>
        <w:spacing w:after="0" w:line="240" w:lineRule="auto"/>
      </w:pPr>
      <w:r>
        <w:continuationSeparator/>
      </w:r>
    </w:p>
  </w:endnote>
  <w:endnote w:type="continuationNotice" w:id="1">
    <w:p w14:paraId="2CDDCEE6" w14:textId="77777777" w:rsidR="00547C19" w:rsidRDefault="00547C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useo Sans 300">
    <w:altName w:val="Calibri"/>
    <w:panose1 w:val="02000000000000000000"/>
    <w:charset w:val="4D"/>
    <w:family w:val="auto"/>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31B7" w14:textId="77777777" w:rsidR="00272BCB" w:rsidRDefault="00272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F2F1" w14:textId="77777777" w:rsidR="00272BCB" w:rsidRDefault="00272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6CB2" w14:textId="77777777" w:rsidR="00272BCB" w:rsidRDefault="00272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894B" w14:textId="77777777" w:rsidR="00547C19" w:rsidRDefault="00547C19" w:rsidP="00B75F5C">
      <w:pPr>
        <w:spacing w:after="0" w:line="240" w:lineRule="auto"/>
      </w:pPr>
      <w:r>
        <w:separator/>
      </w:r>
    </w:p>
  </w:footnote>
  <w:footnote w:type="continuationSeparator" w:id="0">
    <w:p w14:paraId="740A29BC" w14:textId="77777777" w:rsidR="00547C19" w:rsidRDefault="00547C19" w:rsidP="00B75F5C">
      <w:pPr>
        <w:spacing w:after="0" w:line="240" w:lineRule="auto"/>
      </w:pPr>
      <w:r>
        <w:continuationSeparator/>
      </w:r>
    </w:p>
  </w:footnote>
  <w:footnote w:type="continuationNotice" w:id="1">
    <w:p w14:paraId="46BA1CBF" w14:textId="77777777" w:rsidR="00547C19" w:rsidRDefault="00547C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F8B6" w14:textId="77777777" w:rsidR="00272BCB" w:rsidRDefault="00272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E668" w14:textId="78A0B58C" w:rsidR="00B75F5C" w:rsidRPr="00A1239D" w:rsidRDefault="00B75F5C" w:rsidP="00A1239D">
    <w:pPr>
      <w:pStyle w:val="Header"/>
      <w:pBdr>
        <w:bottom w:val="single" w:sz="4" w:space="1" w:color="auto"/>
      </w:pBdr>
      <w:spacing w:line="276" w:lineRule="auto"/>
      <w:jc w:val="right"/>
      <w:rPr>
        <w:sz w:val="16"/>
      </w:rPr>
    </w:pPr>
    <w:r w:rsidRPr="005F6AA9">
      <w:rPr>
        <w:noProof/>
        <w:color w:val="000000"/>
        <w:sz w:val="18"/>
      </w:rPr>
      <w:drawing>
        <wp:anchor distT="0" distB="0" distL="114300" distR="114300" simplePos="0" relativeHeight="251658240" behindDoc="1" locked="0" layoutInCell="1" allowOverlap="1" wp14:anchorId="573F3E95" wp14:editId="73FC1C5D">
          <wp:simplePos x="0" y="0"/>
          <wp:positionH relativeFrom="margin">
            <wp:posOffset>-19050</wp:posOffset>
          </wp:positionH>
          <wp:positionV relativeFrom="margin">
            <wp:posOffset>-873761</wp:posOffset>
          </wp:positionV>
          <wp:extent cx="1676400" cy="828675"/>
          <wp:effectExtent l="0" t="0" r="0" b="0"/>
          <wp:wrapNone/>
          <wp:docPr id="9" name="Picture 9">
            <a:extLst xmlns:a="http://schemas.openxmlformats.org/drawingml/2006/main">
              <a:ext uri="{FF2B5EF4-FFF2-40B4-BE49-F238E27FC236}">
                <a16:creationId xmlns:a16="http://schemas.microsoft.com/office/drawing/2014/main" id="{5EACF2E9-A1D7-4D2F-BC03-82A1A25D7F4A}"/>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EACF2E9-A1D7-4D2F-BC03-82A1A25D7F4A}"/>
                      </a:ext>
                    </a:extLst>
                  </pic:cNvPr>
                  <pic:cNvPicPr/>
                </pic:nvPicPr>
                <pic:blipFill rotWithShape="1">
                  <a:blip r:embed="rId1" cstate="print">
                    <a:extLst>
                      <a:ext uri="{28A0092B-C50C-407E-A947-70E740481C1C}">
                        <a14:useLocalDpi xmlns:a14="http://schemas.microsoft.com/office/drawing/2010/main" val="0"/>
                      </a:ext>
                    </a:extLst>
                  </a:blip>
                  <a:srcRect r="65979"/>
                  <a:stretch/>
                </pic:blipFill>
                <pic:spPr bwMode="auto">
                  <a:xfrm>
                    <a:off x="0" y="0"/>
                    <a:ext cx="1676534" cy="828741"/>
                  </a:xfrm>
                  <a:prstGeom prst="rect">
                    <a:avLst/>
                  </a:prstGeom>
                  <a:noFill/>
                  <a:ln>
                    <a:noFill/>
                  </a:ln>
                </pic:spPr>
              </pic:pic>
            </a:graphicData>
          </a:graphic>
          <wp14:sizeRelH relativeFrom="page">
            <wp14:pctWidth>0</wp14:pctWidth>
          </wp14:sizeRelH>
          <wp14:sizeRelV relativeFrom="page">
            <wp14:pctHeight>0</wp14:pctHeight>
          </wp14:sizeRelV>
        </wp:anchor>
      </w:drawing>
    </w:r>
    <w:r w:rsidR="00F734BF">
      <w:rPr>
        <w:b/>
        <w:color w:val="000000"/>
        <w:sz w:val="40"/>
        <w:szCs w:val="40"/>
        <w:u w:val="single"/>
      </w:rPr>
      <w:t>R</w:t>
    </w:r>
    <w:r w:rsidRPr="005F6AA9">
      <w:rPr>
        <w:b/>
        <w:color w:val="000000"/>
        <w:sz w:val="40"/>
        <w:szCs w:val="40"/>
        <w:u w:val="single"/>
      </w:rPr>
      <w:t>eading Teachers=Reading Pupils</w:t>
    </w:r>
    <w:r w:rsidRPr="005F6AA9">
      <w:rPr>
        <w:b/>
        <w:bCs/>
        <w:color w:val="000000"/>
        <w:sz w:val="40"/>
        <w:szCs w:val="48"/>
        <w:u w:val="single"/>
      </w:rPr>
      <w:br/>
    </w:r>
    <w:r w:rsidR="007A7CE9">
      <w:rPr>
        <w:color w:val="000000"/>
        <w:sz w:val="28"/>
        <w:szCs w:val="28"/>
      </w:rPr>
      <w:t>Group Name</w:t>
    </w:r>
    <w:r w:rsidR="00954EEB">
      <w:rPr>
        <w:color w:val="000000"/>
        <w:sz w:val="28"/>
        <w:szCs w:val="28"/>
      </w:rPr>
      <w:t xml:space="preserve"> – </w:t>
    </w:r>
    <w:r w:rsidRPr="005F6AA9">
      <w:rPr>
        <w:color w:val="000000"/>
        <w:sz w:val="28"/>
        <w:szCs w:val="28"/>
      </w:rPr>
      <w:t>B</w:t>
    </w:r>
    <w:r w:rsidR="00824F5D">
      <w:rPr>
        <w:color w:val="000000"/>
        <w:sz w:val="28"/>
        <w:szCs w:val="28"/>
      </w:rPr>
      <w:t>ook</w:t>
    </w:r>
    <w:r w:rsidRPr="005F6AA9">
      <w:rPr>
        <w:color w:val="000000"/>
        <w:sz w:val="28"/>
        <w:szCs w:val="28"/>
      </w:rPr>
      <w:t xml:space="preserve"> </w:t>
    </w:r>
    <w:r w:rsidR="007A7CE9">
      <w:rPr>
        <w:color w:val="000000"/>
        <w:sz w:val="28"/>
        <w:szCs w:val="28"/>
      </w:rPr>
      <w:t>1</w:t>
    </w:r>
    <w:r w:rsidRPr="005F6AA9">
      <w:rPr>
        <w:color w:val="000000"/>
        <w:sz w:val="28"/>
        <w:szCs w:val="28"/>
      </w:rPr>
      <w:t xml:space="preserve"> - Group Meetings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4488" w14:textId="77777777" w:rsidR="00272BCB" w:rsidRDefault="00272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65C"/>
    <w:multiLevelType w:val="hybridMultilevel"/>
    <w:tmpl w:val="547EEB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8A3AE5"/>
    <w:multiLevelType w:val="hybridMultilevel"/>
    <w:tmpl w:val="27F08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6F78A2"/>
    <w:multiLevelType w:val="hybridMultilevel"/>
    <w:tmpl w:val="7F02F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D9597A"/>
    <w:multiLevelType w:val="hybridMultilevel"/>
    <w:tmpl w:val="F07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901BA"/>
    <w:multiLevelType w:val="hybridMultilevel"/>
    <w:tmpl w:val="0E1E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E5CC9"/>
    <w:multiLevelType w:val="hybridMultilevel"/>
    <w:tmpl w:val="A148E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4D7869"/>
    <w:multiLevelType w:val="hybridMultilevel"/>
    <w:tmpl w:val="5562F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986B44"/>
    <w:multiLevelType w:val="hybridMultilevel"/>
    <w:tmpl w:val="D674A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271064"/>
    <w:multiLevelType w:val="hybridMultilevel"/>
    <w:tmpl w:val="1520B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706B7F"/>
    <w:multiLevelType w:val="hybridMultilevel"/>
    <w:tmpl w:val="8C869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DD0BAD"/>
    <w:multiLevelType w:val="hybridMultilevel"/>
    <w:tmpl w:val="339A1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C5538E"/>
    <w:multiLevelType w:val="hybridMultilevel"/>
    <w:tmpl w:val="88827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413710"/>
    <w:multiLevelType w:val="hybridMultilevel"/>
    <w:tmpl w:val="9326B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1606092">
    <w:abstractNumId w:val="3"/>
  </w:num>
  <w:num w:numId="2" w16cid:durableId="996226029">
    <w:abstractNumId w:val="4"/>
  </w:num>
  <w:num w:numId="3" w16cid:durableId="104926519">
    <w:abstractNumId w:val="10"/>
  </w:num>
  <w:num w:numId="4" w16cid:durableId="990986911">
    <w:abstractNumId w:val="12"/>
  </w:num>
  <w:num w:numId="5" w16cid:durableId="1914118003">
    <w:abstractNumId w:val="7"/>
  </w:num>
  <w:num w:numId="6" w16cid:durableId="147748839">
    <w:abstractNumId w:val="11"/>
  </w:num>
  <w:num w:numId="7" w16cid:durableId="1715302733">
    <w:abstractNumId w:val="6"/>
  </w:num>
  <w:num w:numId="8" w16cid:durableId="1828131085">
    <w:abstractNumId w:val="1"/>
  </w:num>
  <w:num w:numId="9" w16cid:durableId="1596206596">
    <w:abstractNumId w:val="8"/>
  </w:num>
  <w:num w:numId="10" w16cid:durableId="176896250">
    <w:abstractNumId w:val="2"/>
  </w:num>
  <w:num w:numId="11" w16cid:durableId="284195090">
    <w:abstractNumId w:val="0"/>
  </w:num>
  <w:num w:numId="12" w16cid:durableId="189415627">
    <w:abstractNumId w:val="9"/>
  </w:num>
  <w:num w:numId="13" w16cid:durableId="2014918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5C"/>
    <w:rsid w:val="000016A9"/>
    <w:rsid w:val="00023569"/>
    <w:rsid w:val="00024ABF"/>
    <w:rsid w:val="00035C36"/>
    <w:rsid w:val="0003667B"/>
    <w:rsid w:val="0004046B"/>
    <w:rsid w:val="0006287F"/>
    <w:rsid w:val="000B05B1"/>
    <w:rsid w:val="00251EF1"/>
    <w:rsid w:val="00264B58"/>
    <w:rsid w:val="00272BCB"/>
    <w:rsid w:val="002A4678"/>
    <w:rsid w:val="003E40A6"/>
    <w:rsid w:val="004E6B98"/>
    <w:rsid w:val="00547C19"/>
    <w:rsid w:val="00566943"/>
    <w:rsid w:val="00575DF0"/>
    <w:rsid w:val="005B76BB"/>
    <w:rsid w:val="005F1A0C"/>
    <w:rsid w:val="00603CCE"/>
    <w:rsid w:val="00611761"/>
    <w:rsid w:val="006B41E7"/>
    <w:rsid w:val="006C01CD"/>
    <w:rsid w:val="00724677"/>
    <w:rsid w:val="0072529A"/>
    <w:rsid w:val="00744C5C"/>
    <w:rsid w:val="007A7CE9"/>
    <w:rsid w:val="007B3ADF"/>
    <w:rsid w:val="00824F5D"/>
    <w:rsid w:val="00831484"/>
    <w:rsid w:val="008329DE"/>
    <w:rsid w:val="00872C22"/>
    <w:rsid w:val="00884CDD"/>
    <w:rsid w:val="00896A34"/>
    <w:rsid w:val="00952AA2"/>
    <w:rsid w:val="00954EEB"/>
    <w:rsid w:val="00971373"/>
    <w:rsid w:val="00981959"/>
    <w:rsid w:val="00A1239D"/>
    <w:rsid w:val="00A14398"/>
    <w:rsid w:val="00AE6C5A"/>
    <w:rsid w:val="00B752C7"/>
    <w:rsid w:val="00B75ECE"/>
    <w:rsid w:val="00B75F5C"/>
    <w:rsid w:val="00BC72B6"/>
    <w:rsid w:val="00C42BDD"/>
    <w:rsid w:val="00C90078"/>
    <w:rsid w:val="00CC7E80"/>
    <w:rsid w:val="00CD0CDE"/>
    <w:rsid w:val="00CD3B3E"/>
    <w:rsid w:val="00D3064E"/>
    <w:rsid w:val="00D73F52"/>
    <w:rsid w:val="00DC463B"/>
    <w:rsid w:val="00DF094E"/>
    <w:rsid w:val="00DF54D0"/>
    <w:rsid w:val="00E9448A"/>
    <w:rsid w:val="00EA31E7"/>
    <w:rsid w:val="00EB44E1"/>
    <w:rsid w:val="00F13BDD"/>
    <w:rsid w:val="00F734BF"/>
    <w:rsid w:val="1A9A98AE"/>
    <w:rsid w:val="2C11341A"/>
    <w:rsid w:val="7D010B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1AF87"/>
  <w15:chartTrackingRefBased/>
  <w15:docId w15:val="{C4ACAD98-4876-4857-8393-88CD1366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5F5C"/>
    <w:pPr>
      <w:tabs>
        <w:tab w:val="center" w:pos="4153"/>
        <w:tab w:val="right" w:pos="8306"/>
      </w:tabs>
      <w:spacing w:after="0" w:line="360" w:lineRule="auto"/>
    </w:pPr>
    <w:rPr>
      <w:rFonts w:ascii="Museo Sans 300" w:eastAsia="Times New Roman" w:hAnsi="Museo Sans 300" w:cs="Times New Roman"/>
      <w:color w:val="4D5157"/>
      <w:sz w:val="20"/>
      <w:lang w:eastAsia="en-GB"/>
    </w:rPr>
  </w:style>
  <w:style w:type="character" w:customStyle="1" w:styleId="HeaderChar">
    <w:name w:val="Header Char"/>
    <w:basedOn w:val="DefaultParagraphFont"/>
    <w:link w:val="Header"/>
    <w:rsid w:val="00B75F5C"/>
    <w:rPr>
      <w:rFonts w:ascii="Museo Sans 300" w:eastAsia="Times New Roman" w:hAnsi="Museo Sans 300" w:cs="Times New Roman"/>
      <w:color w:val="4D5157"/>
      <w:sz w:val="20"/>
      <w:lang w:eastAsia="en-GB"/>
    </w:rPr>
  </w:style>
  <w:style w:type="paragraph" w:styleId="Footer">
    <w:name w:val="footer"/>
    <w:basedOn w:val="Normal"/>
    <w:link w:val="FooterChar"/>
    <w:uiPriority w:val="99"/>
    <w:unhideWhenUsed/>
    <w:rsid w:val="00B75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F5C"/>
  </w:style>
  <w:style w:type="table" w:styleId="TableGrid">
    <w:name w:val="Table Grid"/>
    <w:basedOn w:val="TableNormal"/>
    <w:uiPriority w:val="39"/>
    <w:rsid w:val="00B75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F5C"/>
    <w:pPr>
      <w:ind w:left="720"/>
      <w:contextualSpacing/>
    </w:pPr>
  </w:style>
  <w:style w:type="character" w:styleId="Hyperlink">
    <w:name w:val="Hyperlink"/>
    <w:basedOn w:val="DefaultParagraphFont"/>
    <w:uiPriority w:val="99"/>
    <w:unhideWhenUsed/>
    <w:rsid w:val="00CD3B3E"/>
    <w:rPr>
      <w:color w:val="0563C1" w:themeColor="hyperlink"/>
      <w:u w:val="single"/>
    </w:rPr>
  </w:style>
  <w:style w:type="character" w:styleId="UnresolvedMention">
    <w:name w:val="Unresolved Mention"/>
    <w:basedOn w:val="DefaultParagraphFont"/>
    <w:uiPriority w:val="99"/>
    <w:semiHidden/>
    <w:unhideWhenUsed/>
    <w:rsid w:val="0083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nglishandmedia.co.uk/publications/the-carnegie-medal-award-shortlist-2022-resources-download-emc-fr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749675D1BD6942AD368AA20329B86E" ma:contentTypeVersion="15" ma:contentTypeDescription="Create a new document." ma:contentTypeScope="" ma:versionID="fce6219c681470ec18194a7dcb9e48ab">
  <xsd:schema xmlns:xsd="http://www.w3.org/2001/XMLSchema" xmlns:xs="http://www.w3.org/2001/XMLSchema" xmlns:p="http://schemas.microsoft.com/office/2006/metadata/properties" xmlns:ns2="e3caf3a6-d6d7-4650-bf74-ea77d3649dd0" xmlns:ns3="22a79c69-7c22-48a6-8b0f-37ef5021bc14" targetNamespace="http://schemas.microsoft.com/office/2006/metadata/properties" ma:root="true" ma:fieldsID="1bd44a7d6d034028270584f67b5ab2e8" ns2:_="" ns3:_="">
    <xsd:import namespace="e3caf3a6-d6d7-4650-bf74-ea77d3649dd0"/>
    <xsd:import namespace="22a79c69-7c22-48a6-8b0f-37ef5021bc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af3a6-d6d7-4650-bf74-ea77d3649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79c69-7c22-48a6-8b0f-37ef5021bc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F2445-F7DE-479D-9107-E7AD6F293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af3a6-d6d7-4650-bf74-ea77d3649dd0"/>
    <ds:schemaRef ds:uri="22a79c69-7c22-48a6-8b0f-37ef5021b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BFBE-1BD9-4E21-92A6-D694C51CDB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301FD8-A061-4053-829D-587E143A6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Khazana McLaughlin</dc:creator>
  <cp:keywords/>
  <dc:description/>
  <cp:lastModifiedBy>Lucy Webster</cp:lastModifiedBy>
  <cp:revision>2</cp:revision>
  <cp:lastPrinted>2022-11-22T15:56:00Z</cp:lastPrinted>
  <dcterms:created xsi:type="dcterms:W3CDTF">2022-11-23T15:47:00Z</dcterms:created>
  <dcterms:modified xsi:type="dcterms:W3CDTF">2022-11-23T15:47:00Z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0x01010063749675D1BD6942AD368AA20329B86E</vt:lpwstr>
  </property>
</Properties>
</file>